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calidad de [cargo: presidente/a o miembro del comité de empresa, delegado/a de personal, delegado/a sindical o representante del sindicato], actúo en nombre y representación de [órgano o sindicato que demanda], con domicilio a efectos de notificaciones en [domicilio para notificaciones], teléfono [teléfono] y correo electrónico [correo electrónico], y, como mejor proceda en derecho, DIGO:</w:t>
      </w:r>
    </w:p>
    <w:p>
      <w:pPr>
        <w:spacing w:before="0" w:after="240" w:line="360" w:lineRule="auto"/>
      </w:pPr>
      <w:r>
        <w:t xml:space="preserve">Que presento DEMANDA DE CONFLICTO COLECTIVO contra la decisión de modificación sustancial de condiciones de trabajo de carácter colectivo, por el procedimiento de los artículos 153 y siguientes de la Ley 36/2011, de 10 de octubre, reguladora de la jurisdicción social (LRJS), contra la empresa [nombre o razón social de la empresa], con NIF [NIF de la empresa] y domicilio en [domicilio social de la empresa], con base en los siguientes</w:t>
      </w:r>
    </w:p>
    <w:p>
      <w:pPr>
        <w:spacing w:before="0" w:after="240" w:line="360" w:lineRule="auto"/>
      </w:pPr>
      <w:r>
        <w:rPr>
          <w:i/>
        </w:rPr>
        <w:t xml:space="preserve">[Solo si la modificación se pactó en el periodo de consultas; si no, borra este párrafo.]</w:t>
      </w:r>
      <w:r>
        <w:br/>
      </w:r>
      <w:r>
        <w:t xml:space="preserve">La demanda se dirige también contra [representantes o sindicatos que firmaron el acuerdo], que dieron su conformidad a la medida, conforme al artículo 138.2 LRJS.</w:t>
      </w:r>
    </w:p>
    <w:p>
      <w:pPr>
        <w:spacing w:before="480" w:after="240" w:line="360" w:lineRule="auto"/>
        <w:jc w:val="center"/>
      </w:pPr>
      <w:r>
        <w:rPr>
          <w:b/>
        </w:rPr>
        <w:t xml:space="preserve">HECHOS</w:t>
      </w:r>
    </w:p>
    <w:p>
      <w:pPr>
        <w:spacing w:before="0" w:after="240" w:line="360" w:lineRule="auto"/>
      </w:pPr>
      <w:r>
        <w:rPr>
          <w:b/>
        </w:rPr>
        <w:t xml:space="preserve">PRIMERO.- Legitimación de quien demanda.</w:t>
      </w:r>
    </w:p>
    <w:p>
      <w:pPr>
        <w:spacing w:before="0" w:after="240" w:line="360" w:lineRule="auto"/>
      </w:pPr>
      <w:r>
        <w:t xml:space="preserve">Demanda [órgano o sindicato que demanda]. [Cómo se acordó la demanda o qué implantación tiene: acuerdo del comité por mayoría en su reunión de (fecha); firma de todos los delegados/as de personal; sección sindical constituida o sindicato con (número) miembros en el comité], según los documentos que acompaño.</w:t>
      </w:r>
    </w:p>
    <w:p>
      <w:pPr>
        <w:spacing w:before="0" w:after="240" w:line="360" w:lineRule="auto"/>
      </w:pPr>
      <w:r>
        <w:rPr>
          <w:b/>
        </w:rPr>
        <w:t xml:space="preserve">SEGUNDO.- Empresa, ámbito del conflicto y colectivo afectado.</w:t>
      </w:r>
    </w:p>
    <w:p>
      <w:pPr>
        <w:spacing w:before="0" w:after="240" w:line="360" w:lineRule="auto"/>
      </w:pPr>
      <w:r>
        <w:t xml:space="preserve">La empresa se dedica a [actividad de la empresa] y tiene [número de personas en plantilla] personas en plantilla. Se aplica el convenio colectivo [nombre del convenio colectivo]. La medida afecta a [centro o centros de trabajo afectados, con su localidad].</w:t>
      </w:r>
    </w:p>
    <w:p>
      <w:pPr>
        <w:spacing w:before="0" w:after="240" w:line="360" w:lineRule="auto"/>
      </w:pPr>
      <w:r>
        <w:t xml:space="preserve">Conforme al artículo 157.1 a) LRJS, el conflicto afecta a [descripción del colectivo afectado], unas [número de personas afectadas] personas, a las que se puede identificar por [datos para identificar a las personas afectadas].</w:t>
      </w:r>
    </w:p>
    <w:p>
      <w:pPr>
        <w:spacing w:before="0" w:after="240" w:line="360" w:lineRule="auto"/>
      </w:pPr>
      <w:r>
        <w:rPr>
          <w:b/>
        </w:rPr>
        <w:t xml:space="preserve">TERCERO.- Las condiciones anteriores.</w:t>
      </w:r>
    </w:p>
    <w:p>
      <w:pPr>
        <w:spacing w:before="0" w:after="240" w:line="360" w:lineRule="auto"/>
      </w:pPr>
      <w:r>
        <w:t xml:space="preserve">Hasta la decisión que se impugna, el colectivo venía [condición anterior], de forma estable desde [fecha desde la que se mantenía la condición anterior]. Esa condición tenía su origen en [origen de la condición: el contrato, un acuerdo o pacto de empresa, una decisión de la empresa aplicada al colectivo, el convenio colectivo].</w:t>
      </w:r>
    </w:p>
    <w:p>
      <w:pPr>
        <w:spacing w:before="0" w:after="240" w:line="360" w:lineRule="auto"/>
      </w:pPr>
      <w:r>
        <w:rPr>
          <w:b/>
        </w:rPr>
        <w:t xml:space="preserve">CUARTO.- La decisión de la empresa.</w:t>
      </w:r>
    </w:p>
    <w:p>
      <w:pPr>
        <w:spacing w:before="0" w:after="240" w:line="360" w:lineRule="auto"/>
      </w:pPr>
      <w:r>
        <w:t xml:space="preserve">El [fecha de la notificación por escrito] la empresa notificó por escrito [a la plantilla o a la representación] que, desde el [fecha de efectos], [la modificación]. Alegó como causa [causa que alegó la empresa].</w:t>
      </w:r>
    </w:p>
    <w:p>
      <w:pPr>
        <w:spacing w:before="0" w:after="240" w:line="360" w:lineRule="auto"/>
      </w:pPr>
      <w:r>
        <w:rPr>
          <w:i/>
        </w:rPr>
        <w:t xml:space="preserve">[Solo si la empresa rebaja el salario o cambia el sistema de incentivos, comisiones o retribución variable; si no, borra este párrafo.]</w:t>
      </w:r>
      <w:r>
        <w:br/>
      </w:r>
      <w:r>
        <w:t xml:space="preserve">La decisión [en qué cambia la retribución], lo que supone para cada persona afectada una pérdida de [pérdida anual aproximada] al año.</w:t>
      </w:r>
    </w:p>
    <w:p>
      <w:pPr>
        <w:spacing w:before="0" w:after="240" w:line="360" w:lineRule="auto"/>
      </w:pPr>
      <w:r>
        <w:rPr>
          <w:b/>
        </w:rPr>
        <w:t xml:space="preserve">QUINTO.- El periodo de consultas.</w:t>
      </w:r>
    </w:p>
    <w:p>
      <w:pPr>
        <w:spacing w:before="0" w:after="240" w:line="360" w:lineRule="auto"/>
      </w:pPr>
      <w:r>
        <w:rPr>
          <w:i/>
        </w:rPr>
        <w:t xml:space="preserve">[Solo si la empresa no abrió periodo de consultas; si no, borra este párrafo.]</w:t>
      </w:r>
      <w:r>
        <w:br/>
      </w:r>
      <w:r>
        <w:t xml:space="preserve">La empresa no abrió periodo de consultas con la representación de la plantilla. Se limitó a [lo que hizo: reuniones informativas, cartas individuales, un comunicado en el tablón].</w:t>
      </w:r>
    </w:p>
    <w:p>
      <w:pPr>
        <w:spacing w:before="0" w:after="240" w:line="360" w:lineRule="auto"/>
      </w:pPr>
      <w:r>
        <w:rPr>
          <w:i/>
        </w:rPr>
        <w:t xml:space="preserve">[Solo si hubo periodo de consultas; si no, borra este párrafo.]</w:t>
      </w:r>
      <w:r>
        <w:br/>
      </w:r>
      <w:r>
        <w:t xml:space="preserve">El periodo de consultas se desarrolló entre el [fecha de inicio] y el [fecha de fin], con [número] reuniones, y terminó [sin acuerdo o con acuerdo firmado por (quién)]. [Lo que ocurrió en las consultas: documentación que no se entregó, propuestas de la representación que no se contestaron, causa distinta de la real].</w:t>
      </w:r>
    </w:p>
    <w:p>
      <w:pPr>
        <w:spacing w:before="0" w:after="240" w:line="360" w:lineRule="auto"/>
      </w:pPr>
      <w:r>
        <w:rPr>
          <w:b/>
        </w:rPr>
        <w:t xml:space="preserve">SEXTO.- Plazo.</w:t>
      </w:r>
    </w:p>
    <w:p>
      <w:pPr>
        <w:spacing w:before="0" w:after="240" w:line="360" w:lineRule="auto"/>
      </w:pPr>
      <w:r>
        <w:t xml:space="preserve">Esta demanda se presenta dentro de los veinte días hábiles siguientes a la notificación por escrito de la decisión (artículo 138.1 LRJS) y no requiere conciliación previa (artículo 64.1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LRJS). Es competente este órgano conforme a [artículo 6 y 10.2 h) LRJS, si es el juzgado; artículo 7 a) LRJS, si es el Tribunal Superior de Justicia; o artículo 8.1 LRJS, si es la Audiencia Nacional], por el ámbito al que se extienden los efectos del conflicto. Las decisiones de modificación sustancial colectiva del artículo 41.2 del Estatuto de los Trabajadores (ET) se impugnan por el proceso de conflicto colectivo (artículos 41.5 ET y 153.1 LRJS), con las reglas del artículo 138 LRJS. Quien demanda está legitimado conforme al artículo 154 LRJS.</w:t>
      </w:r>
    </w:p>
    <w:p>
      <w:pPr>
        <w:spacing w:before="0" w:after="240" w:line="360" w:lineRule="auto"/>
      </w:pPr>
      <w:r>
        <w:rPr>
          <w:b/>
        </w:rPr>
        <w:t xml:space="preserve">II.- Carácter colectivo de la modificación.</w:t>
      </w:r>
    </w:p>
    <w:p>
      <w:pPr>
        <w:spacing w:before="0" w:after="240" w:line="360" w:lineRule="auto"/>
      </w:pPr>
      <w:r>
        <w:t xml:space="preserve">La decisión afecta a [materia del artículo 41.1 ET afectada: jornada, horario, turnos, sistema de remuneración y cuantía salarial, sistema de trabajo y rendimiento, funciones] y alcanza a [número de personas afectadas] personas en un periodo de noventa días, en una empresa de [número de personas en plantilla], por lo que supera los umbrales del artículo 41.2 ET y es una modificación colectiva.</w:t>
      </w:r>
    </w:p>
    <w:p>
      <w:pPr>
        <w:spacing w:before="0" w:after="240" w:line="360" w:lineRule="auto"/>
      </w:pPr>
      <w:r>
        <w:rPr>
          <w:b/>
        </w:rPr>
        <w:t xml:space="preserve">III.- Nulidad o, subsidiariamente, falta de justificación.</w:t>
      </w:r>
    </w:p>
    <w:p>
      <w:pPr>
        <w:spacing w:before="0" w:after="240" w:line="360" w:lineRule="auto"/>
      </w:pPr>
      <w:r>
        <w:rPr>
          <w:i/>
        </w:rPr>
        <w:t xml:space="preserve">[Solo si la empresa no abrió periodo de consultas; si no, borra este párrafo.]</w:t>
      </w:r>
      <w:r>
        <w:br/>
      </w:r>
      <w:r>
        <w:t xml:space="preserve">Sin periodo de consultas.- La modificación colectiva debe ir precedida de un periodo de consultas con la representación (artículo 41.4 ET). La decisión adoptada eludiéndolo es nula (artículo 138.7 LRJS). Así lo declaró la Sala de lo Social del Tribunal Supremo en sentencia de 4 de abril de 2025 (recurso 3106/2023), respecto de una plantilla a la que se pasó a trabajar de lunes a domingo sin consultas, ordenando reponer su jornada anterior.</w:t>
      </w:r>
    </w:p>
    <w:p>
      <w:pPr>
        <w:spacing w:before="0" w:after="240" w:line="360" w:lineRule="auto"/>
      </w:pPr>
      <w:r>
        <w:rPr>
          <w:i/>
        </w:rPr>
        <w:t xml:space="preserve">[Solo si lo modificado es una condición fijada en el convenio colectivo; si no, borra este párrafo.]</w:t>
      </w:r>
      <w:r>
        <w:br/>
      </w:r>
      <w:r>
        <w:t xml:space="preserve">Condición del convenio.- La [condición modificada] está fijada en el artículo [número del artículo] del convenio colectivo aplicable. Las condiciones de un convenio estatutario solo pueden dejar de aplicarse por el procedimiento del artículo 82.3 ET (artículo 41.6 ET), y la empresa no lo ha seguido. La Sala de lo Social del Tribunal Supremo declaró nulas, por esta razón, las medidas que una empresa tramitó como modificación sustancial cuando afectaban a condiciones del convenio (sentencia de 6 de julio de 2016, recurso 155/2015).</w:t>
      </w:r>
    </w:p>
    <w:p>
      <w:pPr>
        <w:spacing w:before="0" w:after="240" w:line="360" w:lineRule="auto"/>
      </w:pPr>
      <w:r>
        <w:rPr>
          <w:i/>
        </w:rPr>
        <w:t xml:space="preserve">[Solo si hubo periodo de consultas; si no, borra este párrafo.]</w:t>
      </w:r>
      <w:r>
        <w:br/>
      </w:r>
      <w:r>
        <w:t xml:space="preserve">Consultas sin buena fe.- El periodo de consultas exige negociar de buena fe, con vistas a un acuerdo, sobre las causas y la posibilidad de evitar o reducir los efectos de la medida (artículo 41.4 ET). Aquí [por qué no hubo negociación real: no se entregó la documentación que justificaba la causa, no se respondió a las propuestas, se ocultó la causa real], lo que equivale a eludir el periodo de consultas y determina la nulidad (artículo 138.7 LRJS).</w:t>
      </w:r>
    </w:p>
    <w:p>
      <w:pPr>
        <w:spacing w:before="0" w:after="240" w:line="360" w:lineRule="auto"/>
      </w:pPr>
      <w:r>
        <w:rPr>
          <w:i/>
        </w:rPr>
        <w:t xml:space="preserve">[Solo si la modificación se pactó en el periodo de consultas; si no, borra este párrafo.]</w:t>
      </w:r>
      <w:r>
        <w:br/>
      </w:r>
      <w:r>
        <w:t xml:space="preserve">Acuerdo viciado.- El acuerdo alcanzado el [fecha del acuerdo] se concluyó con [fraude, dolo, coacción o abuso de derecho], porque [hechos que lo demuestran], por lo que puede impugnarse conforme al artículo 41.4 ET.</w:t>
      </w:r>
    </w:p>
    <w:p>
      <w:pPr>
        <w:spacing w:before="0" w:after="240" w:line="360" w:lineRule="auto"/>
      </w:pPr>
      <w:r>
        <w:t xml:space="preserve">Subsidiariamente, la decisión es injustificada: la empresa no ha acreditado las razones económicas, técnicas, organizativas o de producción que exige el artículo 41.1 ET [ni la relación entre esas razones y la medida adoptada]. La sentencia que la declare injustificada debe reconocer el derecho a ser repuesto en las condiciones anteriores y a los daños y perjuicios causados (artículo 138.7 LRJS).</w:t>
      </w:r>
    </w:p>
    <w:p>
      <w:pPr>
        <w:spacing w:before="0" w:after="240" w:line="360" w:lineRule="auto"/>
      </w:pPr>
      <w:r>
        <w:rPr>
          <w:i/>
        </w:rPr>
        <w:t xml:space="preserve">[Solo si la modificación vulnera un derecho fundamental (discriminación, libertad sindical, represalia); si no, borra este párrafo.]</w:t>
      </w:r>
      <w:r>
        <w:br/>
      </w:r>
      <w:r>
        <w:t xml:space="preserve">Vulneración de derechos fundamentales.- La decisión vulnera el derecho fundamental a [derecho fundamental vulnerado] del colectivo, por lo que es nula (artículo 138.7 LRJS). Debe darse intervención al Ministerio Fiscal.</w:t>
      </w:r>
    </w:p>
    <w:p>
      <w:pPr>
        <w:spacing w:before="0" w:after="240" w:line="360" w:lineRule="auto"/>
      </w:pPr>
      <w:r>
        <w:rPr>
          <w:b/>
        </w:rPr>
        <w:t xml:space="preserve">IV.- Plazo y efectos de la notificación.</w:t>
      </w:r>
    </w:p>
    <w:p>
      <w:pPr>
        <w:spacing w:before="0" w:after="240" w:line="360" w:lineRule="auto"/>
      </w:pPr>
      <w:r>
        <w:t xml:space="preserve">El plazo de veinte días hábiles se cuenta desde la notificación por escrito de la decisión a la plantilla o a sus representantes y no empieza sin ella (artículo 138.1 LRJS). Así lo aplicó la Sala de lo Social del Tribunal Supremo en un conflicto colectivo, en sentencia de 23 de mayo de 2023 (recurso 169/2021).</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legales, dicte sentencia por la que:</w:t>
      </w:r>
    </w:p>
    <w:p>
      <w:pPr>
        <w:spacing w:before="0" w:after="240" w:line="360" w:lineRule="auto"/>
      </w:pPr>
      <w:r>
        <w:t xml:space="preserve">1.º Declare nula la decisión empresarial notificada el [fecha de la notificación por escrito], por la que [la modificación] y, subsidiariamente, la declare injustificada.</w:t>
      </w:r>
    </w:p>
    <w:p>
      <w:pPr>
        <w:spacing w:before="0" w:after="240" w:line="360" w:lineRule="auto"/>
      </w:pPr>
      <w:r>
        <w:t xml:space="preserve">2.º Condene a la empresa a estar y pasar por esta declaración, a reponer al colectivo descrito en el hecho segundo en sus anteriores condiciones de trabajo, [condición anterior], y a abonarle los daños y perjuicios que la decisión le haya causado durante el tiempo en que ha producido efectos.</w:t>
      </w:r>
    </w:p>
    <w:p>
      <w:pPr>
        <w:spacing w:before="0" w:after="240" w:line="360" w:lineRule="auto"/>
      </w:pPr>
      <w:r>
        <w:rPr>
          <w:i/>
        </w:rPr>
        <w:t xml:space="preserve">[Solo si la empresa rebaja el salario o cambia el sistema de incentivos; si no, borra este párrafo.]</w:t>
      </w:r>
      <w:r>
        <w:br/>
      </w:r>
      <w:r>
        <w:t xml:space="preserve">3.º Condene a la empresa a abonar a cada persona del colectivo las diferencias salariales dejadas de percibir desde el [fecha de efectos], calculadas como [criterio para calcular lo que corresponde a cada persona], con el interés del 10 % anual por mora (artículo 29.3 ET). A efectos de ejecución, son personas afectadas quienes reúnan estos requisitos: [requisitos para individualizar a las personas afectadas].</w:t>
      </w:r>
    </w:p>
    <w:p>
      <w:pPr>
        <w:spacing w:before="0" w:after="240" w:line="360" w:lineRule="auto"/>
      </w:pPr>
      <w:r>
        <w:rPr>
          <w:i/>
        </w:rPr>
        <w:t xml:space="preserve">[Solo si la modificación vulnera un derecho fundamental (discriminación, libertad sindical, represalia); si no, borra este párrafo.]</w:t>
      </w:r>
      <w:r>
        <w:br/>
      </w:r>
      <w:r>
        <w:t xml:space="preserve">Declare que la decisión vulnera el derecho fundamental a [derecho fundamental vulnerado] del colectivo y ordene el cese inmediato de la conducta y la reposición de la situación anterior.</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[documentos que acreditan la representación: acta del acuerdo del comité, firma de todos los delegados/as, estatutos o acuerdo del sindicato], la comunicación escrita de la decisión [y las actas del periodo de consultas].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rPr>
          <w:i/>
        </w:rPr>
        <w:t xml:space="preserve">[Solo si hay documentos que solo tiene la empresa; si no, borra este párrafo.]</w:t>
      </w:r>
      <w:r>
        <w:br/>
      </w:r>
      <w:r>
        <w:t xml:space="preserve">OTROSÍ DIGO: Que, para el juicio, intereso que se requiera a la empresa para que aporte [documentos que debe aportar la empresa: memoria y documentación de la causa, listado de personas afectadas, nóminas de antes y después de la medida].</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