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DIGO:</w:t>
      </w:r>
    </w:p>
    <w:p>
      <w:pPr>
        <w:spacing w:before="0" w:after="240" w:line="360" w:lineRule="auto"/>
      </w:pPr>
      <w:r>
        <w:t xml:space="preserve">Que presento DEMANDA DE IMPUGNACIÓN DE MODIFICACIÓN SUSTANCIAL DE CONDICIONES DE TRABAJO, sobre sistema de remuneración y cuantía salarial, por el procedimiento del artículo 138 de la Ley 36/2011, de 10 de octubre, reguladora de la jurisdicción social (LRJS), y del artículo 41 del Estatuto de los Trabajadores (ET), contra la empresa [nombre de la empresa], con NIF [NIF de la empresa] y domicilio en [domicilio de la empresa], con base en los siguientes</w:t>
      </w:r>
    </w:p>
    <w:p>
      <w:pPr>
        <w:spacing w:before="0" w:after="240" w:line="360" w:lineRule="auto"/>
      </w:pPr>
      <w:r>
        <w:rPr>
          <w:i/>
        </w:rPr>
        <w:t xml:space="preserve">[Solo si alegas discriminación, represalia o la vulneración de otro derecho fundamental; si no, borra este párrafo.]</w:t>
      </w:r>
      <w:r>
        <w:br/>
      </w:r>
      <w:r>
        <w:t xml:space="preserve">Debe darse intervención al MINISTERIO FISCAL, por alegarse en esta demanda la vulneración de derechos fundamentales (artículo 177.3 LRJS).</w:t>
      </w:r>
    </w:p>
    <w:p>
      <w:pPr>
        <w:spacing w:before="480" w:after="240" w:line="360" w:lineRule="auto"/>
        <w:jc w:val="center"/>
      </w:pPr>
      <w:r>
        <w:rPr>
          <w:b/>
        </w:rPr>
        <w:t xml:space="preserve">HECHOS</w:t>
      </w:r>
    </w:p>
    <w:p>
      <w:pPr>
        <w:spacing w:before="0" w:after="240" w:line="360" w:lineRule="auto"/>
      </w:pPr>
      <w:r>
        <w:t xml:space="preserve">PRIMERO.- Relación laboral. Trabajo para la empresa demandada desde el [fecha de alta en la empresa], con contrato [indefinido o temporal] a jornada [completa o parcial], categoría o grupo profesional de [categoría o grupo profesional], en el centro de trabajo de [centro de trabajo]. Es aplicable el convenio colectivo de [nombre del convenio]. No ostento ni he ostentado en el último año la condición de representante legal o sindical de los trabajadores/as.</w:t>
      </w:r>
    </w:p>
    <w:p>
      <w:pPr>
        <w:spacing w:before="0" w:after="240" w:line="360" w:lineRule="auto"/>
      </w:pPr>
      <w:r>
        <w:t xml:space="preserve">SEGUNDO.- Mi salario anterior. Hasta el [fecha de efectos del cambio] cobraba un salario bruto de [salario bruto mensual con prorrata de pagas], con esta estructura: [estructura del salario anterior]. La parte afectada por el cambio procede de [origen de la condición: contrato, pacto, acuerdo de empresa o decisión de la empresa mantenida en el tiempo] y supera lo que fija el convenio para mi grupo profesional, que es de [salario del convenio para tu grupo].</w:t>
      </w:r>
    </w:p>
    <w:p>
      <w:pPr>
        <w:spacing w:before="0" w:after="240" w:line="360" w:lineRule="auto"/>
      </w:pPr>
      <w:r>
        <w:t xml:space="preserve">TERCERO.- La decisión de la empresa. El [fecha de la comunicación escrita] la empresa me comunicó por [carta, correo electrónico u otro medio] que, desde el [fecha de efectos del cambio], [descripción del cambio]. Como causa alegó [causa que dio la empresa]. Aporto la comunicación como documento número 1. La firmé solo como recibida, no como conforme.</w:t>
      </w:r>
    </w:p>
    <w:p>
      <w:pPr>
        <w:spacing w:before="0" w:after="240" w:line="360" w:lineRule="auto"/>
      </w:pPr>
      <w:r>
        <w:rPr>
          <w:i/>
        </w:rPr>
        <w:t xml:space="preserve">[Solo si nunca te lo comunicaron por escrito; si no, borra este párrafo.]</w:t>
      </w:r>
      <w:r>
        <w:br/>
      </w:r>
      <w:r>
        <w:t xml:space="preserve">La empresa no me ha comunicado la decisión por escrito. Lo supe el [fecha en que te enteraste] al [cómo te enteraste: ver la nómina, por un responsable, por un correo general], y desde el [fecha de efectos del cambio] [descripción del cambio].</w:t>
      </w:r>
    </w:p>
    <w:p>
      <w:pPr>
        <w:spacing w:before="0" w:after="240" w:line="360" w:lineRule="auto"/>
      </w:pPr>
      <w:r>
        <w:rPr>
          <w:i/>
        </w:rPr>
        <w:t xml:space="preserve">[Solo si te han rebajado la cuantía: el fijo, un plus o una mejora voluntaria; si no, borra este párrafo.]</w:t>
      </w:r>
      <w:r>
        <w:br/>
      </w:r>
      <w:r>
        <w:t xml:space="preserve">La empresa ha [reducido o suprimido] [concepto rebajado], que venía cobrando de forma regular desde [fecha desde la que lo cobrabas], por importe de [importe mensual del concepto], como consta en mis nóminas. No era un pago puntual ni condicionado, sino una parte estable de mi salario.</w:t>
      </w:r>
    </w:p>
    <w:p>
      <w:pPr>
        <w:spacing w:before="0" w:after="240" w:line="360" w:lineRule="auto"/>
      </w:pPr>
      <w:r>
        <w:rPr>
          <w:i/>
        </w:rPr>
        <w:t xml:space="preserve">[Solo si han cambiado el sistema de variable, comisiones o incentivos; si no, borra este párrafo.]</w:t>
      </w:r>
      <w:r>
        <w:br/>
      </w:r>
      <w:r>
        <w:t xml:space="preserve">La empresa ha cambiado el sistema con el que se calculaba mi [variable, comisiones o incentivos]. Antes se calculaba así: [sistema anterior: porcentaje, tabla, objetivos y periodo]. Ahora, así: [sistema nuevo]. El sistema anterior se pactó en [documento donde estaba el sistema anterior] y se venía aplicando de forma estable desde [fecha desde la que se aplicaba].</w:t>
      </w:r>
    </w:p>
    <w:p>
      <w:pPr>
        <w:spacing w:before="0" w:after="240" w:line="360" w:lineRule="auto"/>
      </w:pPr>
      <w:r>
        <w:t xml:space="preserve">CUARTO.- Carácter sustancial. El cambio afecta al sistema de remuneración y a la cuantía salarial (artículo 41.1 d) ET) y es sustancial por su importancia y duración: supone una pérdida de [pérdida mensual] euros brutos al mes, el [porcentaje de pérdida] % de mi salario, y [duración: es definitivo, indefinido o hasta cuándo].</w:t>
      </w:r>
    </w:p>
    <w:p>
      <w:pPr>
        <w:spacing w:before="0" w:after="240" w:line="360" w:lineRule="auto"/>
      </w:pPr>
      <w:r>
        <w:t xml:space="preserve">QUINTO.- Falta de causa. No existen las razones económicas, técnicas, organizativas o de producción que exige el artículo 41.1 ET, o no justifican la rebaja: [por qué la causa no existe o no justifica la rebaja].</w:t>
      </w:r>
    </w:p>
    <w:p>
      <w:pPr>
        <w:spacing w:before="0" w:after="240" w:line="360" w:lineRule="auto"/>
      </w:pPr>
      <w:r>
        <w:rPr>
          <w:i/>
        </w:rPr>
        <w:t xml:space="preserve">[Solo si la empresa no te avisó con 15 días de antelación o no lo comunicó a la representación; si no, borra este párrafo.]</w:t>
      </w:r>
      <w:r>
        <w:br/>
      </w:r>
      <w:r>
        <w:t xml:space="preserve">La decisión no se notificó con la antelación mínima de quince días ni a mí ni a la representación legal de los trabajadores/as, como exige el artículo 41.3 ET: [lo que pasó: se aplicó el mismo día, con [días de antelación] días, el comité no recibió nada].</w:t>
      </w:r>
    </w:p>
    <w:p>
      <w:pPr>
        <w:spacing w:before="0" w:after="240" w:line="360" w:lineRule="auto"/>
      </w:pPr>
      <w:r>
        <w:rPr>
          <w:i/>
        </w:rPr>
        <w:t xml:space="preserve">[Solo si la empresa ha aplicado la misma rebaja a muchas personas sin abrir consultas con la representación; si no, borra este párrafo.]</w:t>
      </w:r>
      <w:r>
        <w:br/>
      </w:r>
      <w:r>
        <w:t xml:space="preserve">La empresa, con una plantilla de [número de personas en la empresa] personas, ha aplicado el mismo cambio en un periodo de noventa días a [número de personas afectadas] personas, sin abrir el periodo de consultas con la representación legal. Supera los umbrales de la modificación colectiva del artículo 41.2 ET.</w:t>
      </w:r>
    </w:p>
    <w:p>
      <w:pPr>
        <w:spacing w:before="0" w:after="240" w:line="360" w:lineRule="auto"/>
      </w:pPr>
      <w:r>
        <w:rPr>
          <w:i/>
        </w:rPr>
        <w:t xml:space="preserve">[Solo si sospechas que es una represalia por reclamar o que te discriminan; si no, borra este párrafo.]</w:t>
      </w:r>
      <w:r>
        <w:br/>
      </w:r>
      <w:r>
        <w:t xml:space="preserve">La decisión llega [cuándo llega respecto a lo que hiciste: días después de reclamar, al volver de una baja, durante unas elecciones sindicales]. Son indicios de [represalia o discriminación]: [indicios concretos: fechas, correos, comentarios, que solo te lo hicieran a ti].</w:t>
      </w:r>
    </w:p>
    <w:p>
      <w:pPr>
        <w:spacing w:before="0" w:after="240" w:line="360" w:lineRule="auto"/>
      </w:pPr>
      <w:r>
        <w:t xml:space="preserve">SEXTO.- Diferencias. Las diferencias entre lo que cobraba y lo que cobro desde el cambio son de [diferencia mensual] euros brutos al mes, según este cálculo: [cálculo de las diferencias]. Hasta la fecha de esta demanda suman [diferencias hasta la demanda] euros, y siguen devengándose cada mes mientras no se me reponga.</w:t>
      </w:r>
    </w:p>
    <w:p>
      <w:pPr>
        <w:spacing w:before="0" w:after="240" w:line="360" w:lineRule="auto"/>
      </w:pPr>
      <w:r>
        <w:t xml:space="preserve">SÉPTIMO.- Presento esta demanda dentro de los veinte días hábiles siguientes a [la notificación por escrito de la decisión / la fecha en que conocí el cambio, sin que haya existido notificación escrita].</w:t>
      </w:r>
    </w:p>
    <w:p>
      <w:pPr>
        <w:spacing w:before="480" w:after="240" w:line="360" w:lineRule="auto"/>
        <w:jc w:val="center"/>
      </w:pPr>
      <w:r>
        <w:rPr>
          <w:b/>
        </w:rPr>
        <w:t xml:space="preserve">FUNDAMENTOS DE DERECHO</w:t>
      </w:r>
    </w:p>
    <w:p>
      <w:pPr>
        <w:spacing w:before="0" w:after="240" w:line="360" w:lineRule="auto"/>
      </w:pPr>
      <w:r>
        <w:t xml:space="preserve">I.- Jurisdicción, competencia y procedimiento. Corresponde el asunto al orden social (artículo 2 LRJS) y a este juzgado (artículos 6 y 10 LRJS). Se tramita por la modalidad urgente y preferente del artículo 138 LRJS, sin conciliación previa (artículo 64.1 LRJS), dentro del plazo de caducidad de veinte días hábiles de su apartado 1 y del artículo 59.4 ET.</w:t>
      </w:r>
    </w:p>
    <w:p>
      <w:pPr>
        <w:spacing w:before="0" w:after="240" w:line="360" w:lineRule="auto"/>
      </w:pPr>
      <w:r>
        <w:t xml:space="preserve">II.- La modificación sustancial del salario. El artículo 41.1 d) ET incluye el sistema de remuneración y la cuantía salarial entre las condiciones que solo pueden modificarse cuando existan probadas razones económicas, técnicas, organizativas o de producción, y con el procedimiento del artículo 41.3: notificación a la persona afectada y a sus representantes con quince días de antelación. Lo que fija el convenio colectivo no puede rebajarse por esta vía (artículo 41.6 ET).</w:t>
      </w:r>
    </w:p>
    <w:p>
      <w:pPr>
        <w:spacing w:before="0" w:after="240" w:line="360" w:lineRule="auto"/>
      </w:pPr>
      <w:r>
        <w:rPr>
          <w:i/>
        </w:rPr>
        <w:t xml:space="preserve">[Solo si han cambiado el sistema de variable, comisiones o incentivos; si no, borra este párrafo.]</w:t>
      </w:r>
      <w:r>
        <w:br/>
      </w:r>
      <w:r>
        <w:t xml:space="preserve">Cambiar las condiciones para cobrar el variable es modificar el sistema de remuneración, aunque no se toque el salario fijo. Así lo declaró la Sala de lo Social del Tribunal Supremo en sentencia de 20 de enero de 2009 (recurso 4512/2007), sobre una empresa que condicionó por su cuenta el cobro de la parte variable a un mínimo de ventas. Y dejar de aplicar una ventaja en el incentivo que la empresa venía concediendo durante años exige seguir el procedimiento del artículo 41 ET (sentencia de la misma Sala de 20 de marzo de 2024, recurso 145/2022).</w:t>
      </w:r>
    </w:p>
    <w:p>
      <w:pPr>
        <w:spacing w:before="0" w:after="240" w:line="360" w:lineRule="auto"/>
      </w:pPr>
      <w:r>
        <w:t xml:space="preserve">III.- La medida es injustificada. Corresponde a la empresa acreditar las razones que invoca, y la sentencia declarará injustificada la decisión si no quedan acreditadas (artículo 138.7 LRJS). Aquí [la causa no existe, no se ha explicado o no guarda relación con la rebaja] [fundamento que corresponda].</w:t>
      </w:r>
    </w:p>
    <w:p>
      <w:pPr>
        <w:spacing w:before="0" w:after="240" w:line="360" w:lineRule="auto"/>
      </w:pPr>
      <w:r>
        <w:t xml:space="preserve">IV.- Reposición y diferencias. La sentencia que declare injustificada la medida reconocerá mi derecho a ser repuesto/a en mis anteriores condiciones y al abono de los daños y perjuicios causados mientras ha producido efectos (artículo 138.7 LRJS). La condena a reponer obliga a devolver todo lo perdido desde el cambio, también el salario (sentencia de la Sala de lo Social del Tribunal Supremo de 20 de mayo de 2014, recurso 2589/2013), y la impugnación de la modificación interrumpe la prescripción para reclamar las diferencias (sentencia de la misma Sala de 18 de septiembre de 2025, recurso 1461/2024). Las diferencias devengan el interés por mora del diez por ciento del artículo 29.3 ET.</w:t>
      </w:r>
    </w:p>
    <w:p>
      <w:pPr>
        <w:spacing w:before="0" w:after="240" w:line="360" w:lineRule="auto"/>
      </w:pPr>
      <w:r>
        <w:rPr>
          <w:i/>
        </w:rPr>
        <w:t xml:space="preserve">[Solo si la empresa ha aplicado la misma rebaja a muchas personas sin abrir consultas con la representación; si no, borra este párrafo.]</w:t>
      </w:r>
      <w:r>
        <w:br/>
      </w:r>
      <w:r>
        <w:t xml:space="preserve">V.- Nulidad por eludir el periodo de consultas. La medida alcanza los umbrales del artículo 41.2 ET y se ha adoptado sin el periodo de consultas del artículo 41.4, por lo que es nula (artículo 138.7 LRJS). La Sala de lo Social del Tribunal Supremo, en sentencia de 29 de marzo de 2022 (recurso 96/2020), confirmó la nulidad del cambio de la retribución variable de toda una plantilla hecho sin justificar las causas ni abrir consultas.</w:t>
      </w:r>
    </w:p>
    <w:p>
      <w:pPr>
        <w:spacing w:before="0" w:after="240" w:line="360" w:lineRule="auto"/>
      </w:pPr>
      <w:r>
        <w:rPr>
          <w:i/>
        </w:rPr>
        <w:t xml:space="preserve">[Solo si sospechas que es una represalia por reclamar o que te discriminan; si no, borra este párrafo.]</w:t>
      </w:r>
      <w:r>
        <w:br/>
      </w:r>
      <w:r>
        <w:t xml:space="preserve">VI.- Nulidad por vulneración de derechos fundamentales. La decisión es nula porque [derecho fundamental vulnerado y por qué] (artículo 138.7 LRJS). Aportados los indicios, corresponde a la empresa probar una justificación objetiva y razonable (artículos 96.1 y 181.2 LRJS). Conforme a los artículos 183 y 184 LRJS, reclamo la indemnización por daño moral, que cuantifico en [cantidad por daño moral] euros [fundamento que corresponda].</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admita esta demanda y, tras los trámites del artículo 138 LRJS, dicte sentencia por la que:</w:t>
      </w:r>
    </w:p>
    <w:p>
      <w:pPr>
        <w:spacing w:before="0" w:after="240" w:line="360" w:lineRule="auto"/>
      </w:pPr>
      <w:r>
        <w:t xml:space="preserve">1.º Declare [injustificada / nula o, subsidiariamente, injustificada] la decisión de la empresa de [descripción del cambio], con efectos desde el [fecha de efectos del cambio].</w:t>
      </w:r>
    </w:p>
    <w:p>
      <w:pPr>
        <w:spacing w:before="0" w:after="240" w:line="360" w:lineRule="auto"/>
      </w:pPr>
      <w:r>
        <w:t xml:space="preserve">2.º Reconozca mi derecho a ser repuesto/a en mis anteriores condiciones salariales, consistentes en [salario o sistema anterior que quieres recuperar], y condene a la empresa a estar y pasar por esta declaración y a reponerme de forma efectiva.</w:t>
      </w:r>
    </w:p>
    <w:p>
      <w:pPr>
        <w:spacing w:before="0" w:after="240" w:line="360" w:lineRule="auto"/>
      </w:pPr>
      <w:r>
        <w:t xml:space="preserve">3.º Condene a la empresa a pagarme las diferencias salariales desde el [fecha de efectos del cambio] hasta mi reposición efectiva, que a la fecha de la demanda ascienden a [diferencias hasta la demanda] euros, más las que se devenguen después a razón de [diferencia mensual] euros mensuales, con el interés por mora del 10 %.</w:t>
      </w:r>
    </w:p>
    <w:p>
      <w:pPr>
        <w:spacing w:before="0" w:after="240" w:line="360" w:lineRule="auto"/>
      </w:pPr>
      <w:r>
        <w:rPr>
          <w:i/>
        </w:rPr>
        <w:t xml:space="preserve">[Solo si sospechas que es una represalia por reclamar o que te discriminan; si no, borra este párrafo.]</w:t>
      </w:r>
      <w:r>
        <w:br/>
      </w:r>
      <w:r>
        <w:t xml:space="preserve">4.º Declare que la decisión vulnera mi derecho fundamental a [derecho fundamental vulnerado] y condene a la empresa a pagarme [cantidad por daño moral] euros de indemnización por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w:t>
      </w:r>
    </w:p>
    <w:p>
      <w:pPr>
        <w:spacing w:before="0" w:after="240" w:line="360" w:lineRule="auto"/>
      </w:pPr>
      <w:r>
        <w:t xml:space="preserve">OTROSÍ DIGO: Que, para el juicio, intereso que se requiera a la empresa para que aporte [documentos que tiene la empresa: el expediente de la modificación, la comunicación a la representación, las liquidaciones del variable o de las comisiones].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