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TUTELA DE DERECHOS FUNDAMENTALES Y LIBERTADES PÚBLICAS contra la empresa [nombre o razón social de la empresa], con NIF [NIF de la empresa] y domicilio en [domicilio de la empresa], por el procedimiento de los artículos 177 a 184 de la Ley Reguladora de la Jurisdicción Social (LRJS), por vulneración de mi derecho a [derecho fundamental vulnerado], por los siguientes hechos y fundamentos de derecho.</w:t>
      </w:r>
    </w:p>
    <w:p>
      <w:pPr>
        <w:spacing w:before="0" w:after="240" w:line="360" w:lineRule="auto"/>
      </w:pPr>
      <w:r>
        <w:t xml:space="preserve">Pido que se cite también al Ministerio Fiscal, que es siempre parte en estos procesos (artículo 177.3 LRJS).</w:t>
      </w:r>
    </w:p>
    <w:p>
      <w:pPr>
        <w:spacing w:before="0" w:after="240" w:line="360" w:lineRule="auto"/>
      </w:pPr>
      <w:r>
        <w:rPr>
          <w:i/>
        </w:rPr>
        <w:t xml:space="preserve">[Solo si reclamas también a la persona que causó directamente la vulneración (el mando o el compañero/a que leyó tus mensajes, difundió tus datos o tu imagen); si no, borra este párrafo.]</w:t>
      </w:r>
      <w:r>
        <w:br/>
      </w:r>
      <w:r>
        <w:t xml:space="preserve">Dirijo también la demanda contra [nombre y apellidos de la persona responsable], con domicilio en [domicilio de esa persona], [cargo o relación con la empresa], como causante directo de la vulneración, y pido su condena solidaria al pago de la indemnización (artículo 177.4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La relación se rige por el convenio colectivo de [nombre del convenio colectivo].</w:t>
      </w:r>
    </w:p>
    <w:p>
      <w:pPr>
        <w:spacing w:before="0" w:after="240" w:line="360" w:lineRule="auto"/>
      </w:pPr>
      <w:r>
        <w:rPr>
          <w:b/>
        </w:rPr>
        <w:t xml:space="preserve">SEGUNDO.- La medida o la conducta que vulnera mi derecho</w:t>
      </w:r>
    </w:p>
    <w:p>
      <w:pPr>
        <w:spacing w:before="0" w:after="240" w:line="360" w:lineRule="auto"/>
      </w:pPr>
      <w:r>
        <w:t xml:space="preserve">Desde el [fecha o periodo de la conducta], la empresa [explica qué hizo, dónde, cómo lo supiste y quién lo vio]. Aporto la prueba como documentos n.º [números].</w:t>
      </w:r>
    </w:p>
    <w:p>
      <w:pPr>
        <w:spacing w:before="0" w:after="240" w:line="360" w:lineRule="auto"/>
      </w:pPr>
      <w:r>
        <w:rPr>
          <w:b/>
        </w:rPr>
        <w:t xml:space="preserve">TERCERO.- Por qué la medida no estaba justificada</w:t>
      </w:r>
    </w:p>
    <w:p>
      <w:pPr>
        <w:spacing w:before="0" w:after="240" w:line="360" w:lineRule="auto"/>
      </w:pPr>
      <w:r>
        <w:t xml:space="preserve">La medida no era necesaria ni proporcionada: [razones: no se me informó antes, no había ninguna sospecha concreta, la empresa tenía medios menos invasivos para lograr lo mismo, el control era continuo e indiscriminado, alcanzó datos personales que nada tienen que ver con el trabajo…].</w:t>
      </w:r>
    </w:p>
    <w:p>
      <w:pPr>
        <w:spacing w:before="0" w:after="240" w:line="360" w:lineRule="auto"/>
      </w:pPr>
      <w:r>
        <w:t xml:space="preserve">[La conducta continúa a fecha de esta demanda: explica en qué sigue, o: la conducta cesó el (fecha en que terminó)].</w:t>
      </w:r>
    </w:p>
    <w:p>
      <w:pPr>
        <w:spacing w:before="0" w:after="240" w:line="360" w:lineRule="auto"/>
      </w:pPr>
      <w:r>
        <w:rPr>
          <w:b/>
        </w:rPr>
        <w:t xml:space="preserve">CUARTO.- El daño causado</w:t>
      </w:r>
    </w:p>
    <w:p>
      <w:pPr>
        <w:spacing w:before="0" w:after="240" w:line="360" w:lineRule="auto"/>
      </w:pPr>
      <w:r>
        <w:t xml:space="preserve">La vulneración me ha causado un daño moral: [explica la gravedad, la duración y las consecuencias: la sensación de estar vigilado/a de forma permanente, la humillación de los registros ante compañeros/as o clientes, la exposición de mi salud o mi imagen, una baja por ansiedad…]. Lo valoro en [importe del daño moral] euros, por lo que explico en el fundamento V.</w:t>
      </w:r>
    </w:p>
    <w:p>
      <w:pPr>
        <w:spacing w:before="0" w:after="240" w:line="360" w:lineRule="auto"/>
      </w:pPr>
      <w:r>
        <w:rPr>
          <w:i/>
        </w:rPr>
        <w:t xml:space="preserve">[Solo si la vulneración te ha causado además gastos que puedas justificar (tratamiento psicológico, gastos médicos…); si no, borra este párrafo.]</w:t>
      </w:r>
      <w:r>
        <w:br/>
      </w:r>
      <w:r>
        <w:t xml:space="preserve">Me ha causado además estos gastos: [concepto de cada gasto y su importe], que suman [importe de los daños adicionales] euros y justifico con los documentos n.º [números].</w:t>
      </w:r>
    </w:p>
    <w:p>
      <w:pPr>
        <w:spacing w:before="0" w:after="240" w:line="360" w:lineRule="auto"/>
      </w:pPr>
      <w:r>
        <w:rPr>
          <w:b/>
        </w:rPr>
        <w:t xml:space="preserve">QUINTO.- Representación</w:t>
      </w:r>
    </w:p>
    <w:p>
      <w:pPr>
        <w:spacing w:before="0" w:after="240" w:line="360" w:lineRule="auto"/>
      </w:pPr>
      <w:r>
        <w:t xml:space="preserve">No soy ni he sido en el último año representante de los trabajadores/as ni delegado/a sindical.</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f LRJS) del lugar donde se produjo la lesión o al que se extienden sus efectos (artículo 10.2 f LRJS). La demanda se tramita por el procedimiento de tutela de derechos fundamentales y libertades públicas (artículos 177 a 184 LRJS), urgente y preferente (artículo 179.1 LRJS), porque lo que impugno no es un despido, una sanción ni ninguna otra de las decisiones que el artículo 184 LRJS obliga a llevar por su propia modalidad. Está exceptuada de la conciliación previa (artículo 64.1 LRJS) y se presenta dentro del plazo de la acción frente a esa conducta (artículo 179.2 LRJS), que es el general de un año del artículo 59 del Estatuto de los Trabajadores (ET). Mientras la conducta continúa, la acción se mantiene viva.</w:t>
      </w:r>
    </w:p>
    <w:p>
      <w:pPr>
        <w:spacing w:before="0" w:after="240" w:line="360" w:lineRule="auto"/>
      </w:pPr>
      <w:r>
        <w:rPr>
          <w:b/>
        </w:rPr>
        <w:t xml:space="preserve">II.- Legitimación</w:t>
      </w:r>
    </w:p>
    <w:p>
      <w:pPr>
        <w:spacing w:before="0" w:after="240" w:line="360" w:lineRule="auto"/>
      </w:pPr>
      <w:r>
        <w:t xml:space="preserve">Estoy legitimado/a como persona trabajadora que sufre la lesión (artículo 177.1 LRJS). El Ministerio Fiscal es siempre parte en este proceso (artículo 177.3 LRJS).</w:t>
      </w:r>
    </w:p>
    <w:p>
      <w:pPr>
        <w:spacing w:before="0" w:after="240" w:line="360" w:lineRule="auto"/>
      </w:pPr>
      <w:r>
        <w:rPr>
          <w:b/>
        </w:rPr>
        <w:t xml:space="preserve">III.- El derecho vulnerado y los límites del control de la empresa</w:t>
      </w:r>
    </w:p>
    <w:p>
      <w:pPr>
        <w:spacing w:before="0" w:after="240" w:line="360" w:lineRule="auto"/>
      </w:pPr>
      <w:r>
        <w:t xml:space="preserve">La Constitución garantiza el derecho a la intimidad personal y a la propia imagen (artículo 18.1), el secreto de las comunicaciones (artículo 18.3) y la protección frente al uso de la informática (artículo 18.4), de donde nace el derecho a la protección de datos personales. Las personas trabajadoras tienen derecho al respeto de su intimidad y a la consideración debida a su dignidad (artículo 4.2 e ET) y a la intimidad en el uso de los dispositivos digitales de la empresa y frente a la videovigilancia (artículo 20 bis ET). La empresa puede adoptar medidas de vigilancia y control, pero guardando la consideración debida a la dignidad de la persona (artículo 20.3 ET).</w:t>
      </w:r>
    </w:p>
    <w:p>
      <w:pPr>
        <w:spacing w:before="0" w:after="240" w:line="360" w:lineRule="auto"/>
      </w:pPr>
      <w:r>
        <w:t xml:space="preserve">Toda medida de control que afecta a la intimidad tiene que ser idónea para su fin, necesaria por no existir otra menos invasiva igual de eficaz, y proporcionada; la mera utilidad o conveniencia para la empresa no basta para justificarla (sentencia del Tribunal Constitucional 98/2000, de 10 de abril). La medida descrita en el hecho segundo no supera ese examen.</w:t>
      </w:r>
    </w:p>
    <w:p>
      <w:pPr>
        <w:spacing w:before="0" w:after="240" w:line="360" w:lineRule="auto"/>
      </w:pPr>
      <w:r>
        <w:rPr>
          <w:i/>
        </w:rPr>
        <w:t xml:space="preserve">[Solo si la empresa graba con cámaras sin haber informado antes, en zonas de descanso, con cámaras ocultas o para vigilar solo a la plantilla; si no, borra este párrafo.]</w:t>
      </w:r>
      <w:r>
        <w:br/>
      </w:r>
      <w:r>
        <w:t xml:space="preserve">La empresa solo puede tratar las imágenes de las cámaras para controlar el trabajo si informa con carácter previo, y de forma expresa, clara y concisa, a la plantilla y a su representación (artículo 89.1 de la Ley Orgánica 3/2018, de Protección de Datos Personales y garantía de los derechos digitales, LOPDGDD). Y en ningún caso puede instalar cámaras ni grabar sonido en lugares de descanso o esparcimiento, como vestuarios, aseos o comedores (artículo 89.2 LOPDGDD).</w:t>
      </w:r>
    </w:p>
    <w:p>
      <w:pPr>
        <w:spacing w:before="0" w:after="240" w:line="360" w:lineRule="auto"/>
      </w:pPr>
      <w:r>
        <w:rPr>
          <w:i/>
        </w:rPr>
        <w:t xml:space="preserve">[Solo si la empresa graba sonido o conversaciones en el centro de trabajo; si no, borra este párrafo.]</w:t>
      </w:r>
      <w:r>
        <w:br/>
      </w:r>
      <w:r>
        <w:t xml:space="preserve">La grabación de sonidos en el lugar de trabajo solo se admite cuando resulten relevantes los riesgos para la seguridad de las instalaciones, bienes y personas derivados de la actividad del centro, y siempre con respeto a los principios de proporcionalidad e intervención mínima (artículo 89.3 LOPDGDD). El Tribunal Constitucional declaró contraria a la intimidad la instalación de micrófonos que grababan las conversaciones de la plantilla y la clientela en un centro que ya tenía cámaras de seguridad (sentencia 98/2000, de 10 de abril).</w:t>
      </w:r>
    </w:p>
    <w:p>
      <w:pPr>
        <w:spacing w:before="0" w:after="240" w:line="360" w:lineRule="auto"/>
      </w:pPr>
      <w:r>
        <w:rPr>
          <w:i/>
        </w:rPr>
        <w:t xml:space="preserve">[Solo si la empresa revisó tu correo, tu ordenador o tus archivos, o vigila tu ordenador de teletrabajo con programas de control; si no, borra este párrafo.]</w:t>
      </w:r>
      <w:r>
        <w:br/>
      </w:r>
      <w:r>
        <w:t xml:space="preserve">La empresa solo puede acceder a los contenidos de los dispositivos digitales que facilita para controlar el cumplimiento de las obligaciones laborales y garantizar su integridad, y está obligada a fijar antes criterios de uso, con participación de la representación, y a informar de ellos a la plantilla (artículo 87 LOPDGDD). Sin reglas previas de uso ni aviso de los controles, la persona trabajadora conserva una expectativa razonable de intimidad que impide revisar el equipo (sentencia del Tribunal Supremo de 26 de septiembre de 2007, recurso 966/2006). Aun con normas, el acceso tiene que responder a un motivo concreto y limitarse a lo necesario [fundamento que corresponda]. En el trabajo a distancia, el control con dispositivos automáticos tiene que respetar los principios de idoneidad, necesidad y proporcionalidad, y la empresa no puede exigir la instalación de programas o aplicaciones en dispositivos propiedad de la persona trabajadora (artículo 17.1 y 2 de la Ley 10/2021, de 9 de julio, de trabajo a distancia).</w:t>
      </w:r>
    </w:p>
    <w:p>
      <w:pPr>
        <w:spacing w:before="0" w:after="240" w:line="360" w:lineRule="auto"/>
      </w:pPr>
      <w:r>
        <w:rPr>
          <w:i/>
        </w:rPr>
        <w:t xml:space="preserve">[Solo si la empresa leyó tus chats o mensajes privados, entró en tu móvil o tus cuentas personales, o difundió tus datos (la baja, el diagnóstico, el salario) en un grupo o entre la plantilla; si no, borra este párrafo.]</w:t>
      </w:r>
      <w:r>
        <w:br/>
      </w:r>
      <w:r>
        <w:t xml:space="preserve">Acceder sin consentimiento a comunicaciones privadas vulnera el secreto de las comunicaciones (artículo 18.3 de la Constitución). Y revelar datos privados de una persona conocidos por la actividad profesional de quien los revela es una intromisión ilegítima en su intimidad (artículo 7.4 de la Ley Orgánica 1/1982, de protección civil del derecho al honor, a la intimidad personal y familiar y a la propia imagen). Los datos de salud, además, son de los más protegidos: difundirlos sin necesidad vulnera la intimidad y la protección de datos.</w:t>
      </w:r>
    </w:p>
    <w:p>
      <w:pPr>
        <w:spacing w:before="0" w:after="240" w:line="360" w:lineRule="auto"/>
      </w:pPr>
      <w:r>
        <w:rPr>
          <w:i/>
        </w:rPr>
        <w:t xml:space="preserve">[Solo si la empresa registra tu bolso, tu taquilla o tus efectos personales a diario, al azar o sin las garantías legales; si no, borra este párrafo.]</w:t>
      </w:r>
      <w:r>
        <w:br/>
      </w:r>
      <w:r>
        <w:t xml:space="preserve">Los registros sobre la persona, su taquilla y sus efectos particulares solo pueden hacerse cuando sean necesarios para proteger el patrimonio de la empresa o de la plantilla, dentro del centro y en horas de trabajo, con el máximo respeto a la dignidad e intimidad y con la asistencia de un representante legal o, en su ausencia, de otro trabajador/a (artículo 18 ET). Es una medida excepcional, distinta del control ordinario del trabajo, y sin esa garantía el registro carece de valor (sentencia del Tribunal Supremo de 5 de junio de 2024, recurso 5761/2022). Un registro diario y general, sin sospecha concreta, no es necesario ni proporcionado.</w:t>
      </w:r>
    </w:p>
    <w:p>
      <w:pPr>
        <w:spacing w:before="0" w:after="240" w:line="360" w:lineRule="auto"/>
      </w:pPr>
      <w:r>
        <w:rPr>
          <w:i/>
        </w:rPr>
        <w:t xml:space="preserve">[Solo si la empresa usa tu imagen sin tu consentimiento (en su web, redes, folletos o publicidad) o mantiene su uso después de que lo retiraras; si no, borra este párrafo.]</w:t>
      </w:r>
      <w:r>
        <w:br/>
      </w:r>
      <w:r>
        <w:t xml:space="preserve">Utilizar la imagen de una persona para fines publicitarios, comerciales o de naturaleza análoga es una intromisión ilegítima (artículo 7.6 de la Ley Orgánica 1/1982), salvo que su titular haya dado su consentimiento expreso, que es revocable en cualquier momento (artículo 2.2 y 3 de la misma ley). Mi trabajo no lleva consigo la exposición de mi imagen, por lo que la empresa necesitaba mi consentimiento para ese uso, y no lo tenía [o lo retiré].</w:t>
      </w:r>
    </w:p>
    <w:p>
      <w:pPr>
        <w:spacing w:before="0" w:after="240" w:line="360" w:lineRule="auto"/>
      </w:pPr>
      <w:r>
        <w:rPr>
          <w:b/>
        </w:rPr>
        <w:t xml:space="preserve">IV.- La empresa tiene que justificar la medida</w:t>
      </w:r>
    </w:p>
    <w:p>
      <w:pPr>
        <w:spacing w:before="0" w:after="240" w:line="360" w:lineRule="auto"/>
      </w:pPr>
      <w:r>
        <w:t xml:space="preserve">Justificados indicios de la vulneración, corresponde a la parte demandada aportar una justificación objetiva y razonable, suficientemente probada, de las medidas adoptadas y de su proporcionalidad (artículos 96.1 y 181.2 LRJS). Los hechos segundo y tercero cumplen esa exigencia.</w:t>
      </w:r>
    </w:p>
    <w:p>
      <w:pPr>
        <w:spacing w:before="0" w:after="240" w:line="360" w:lineRule="auto"/>
      </w:pPr>
      <w:r>
        <w:rPr>
          <w:b/>
        </w:rPr>
        <w:t xml:space="preserve">V.- Lo que debe declarar la sentencia y la indemnización</w:t>
      </w:r>
    </w:p>
    <w:p>
      <w:pPr>
        <w:spacing w:before="0" w:after="240" w:line="360" w:lineRule="auto"/>
      </w:pPr>
      <w:r>
        <w:t xml:space="preserve">Si se estima la demanda, la sentencia declarará la vulneración y el derecho infringido, la nulidad radical de la actuación, el cese inmediato de la conducta y el restablecimiento en la integridad de mi derecho, con la reposición de la situación anterior y la reparación de sus consecuencias, incluida la indemnización (artículo 182.1 LRJS).</w:t>
      </w:r>
    </w:p>
    <w:p>
      <w:pPr>
        <w:spacing w:before="0" w:after="240" w:line="360" w:lineRule="auto"/>
      </w:pPr>
      <w:r>
        <w:t xml:space="preserve">Declarada la vulneración, el juzgado debe pronunciarse sobre la indemnización por el daño moral unido a ella y por los daños y perjuicios adicionales, y la fija prudencialmente cuando la prueba de su importe exacto es demasiado difícil, para resarcir a la víctima y contribuir a prevenir el daño (artículos 179.3 y 183.1 y 2 LRJS). El daño moral va unido a la vulneración y debe indemnizarse aunque no se detallen sus bases de cálculo (sentencia del Tribunal Supremo de 23 de febrero de 2022, recurso 4322/2019).</w:t>
      </w:r>
    </w:p>
    <w:p>
      <w:pPr>
        <w:spacing w:before="0" w:after="240" w:line="360" w:lineRule="auto"/>
      </w:pPr>
      <w:r>
        <w:t xml:space="preserve">Como referencia tomo las multas de la Ley sobre Infracciones y Sanciones en el Orden Social (LISOS), que califica como infracción muy grave los actos del empresario contrarios al respeto de la intimidad y consideración debida a la dignidad de los trabajadores (artículo 8.11) y la sanciona con multa de 7.501 a 30.000 euros en grado mínimo y de 30.001 a 120.005 euros en grado medio (artículo 40.1 c). El Pleno del Tribunal Supremo ha admitido ese criterio junto con las circunstancias del caso (sentencia de 20 de abril de 2022, recurso 2391/2019). Por la gravedad, la duración y las consecuencias expuestas en el hecho cuarto, pido [importe del daño moral] euros.</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que [la empresa, o la empresa y la persona demandada] vulneró mi derecho fundamental a [derecho fundamental vulnerado]; declare la nulidad radical de [medida o conducta que pides que se anule]; ordene su cese inmediato; disponga la reposición de la situación anterior, [reposición concreta que pides: retirar las cámaras de…, desactivar la grabación de sonido, desinstalar el programa de…, suprimir mis datos de…, retirar mi imagen de…, dejar de hacer registros sin las garantías legales]; y condene a la parte demandada a pagarme [importe del daño moral] euros como indemnización por el daño moral.</w:t>
      </w:r>
    </w:p>
    <w:p>
      <w:pPr>
        <w:spacing w:before="0" w:after="240" w:line="360" w:lineRule="auto"/>
      </w:pPr>
      <w:r>
        <w:rPr>
          <w:i/>
        </w:rPr>
        <w:t xml:space="preserve">[Solo si reclamas también gastos justificados; si no, borra este párrafo.]</w:t>
      </w:r>
      <w:r>
        <w:br/>
      </w:r>
      <w:r>
        <w:t xml:space="preserve">Y que condene además a la parte demandada a pagarme [importe de los daños adicionales] euros por los daños y perjuicios adicionales.</w:t>
      </w:r>
    </w:p>
    <w:p>
      <w:pPr>
        <w:spacing w:before="0" w:after="240" w:line="360" w:lineRule="auto"/>
      </w:pPr>
      <w:r>
        <w:rPr>
          <w:i/>
        </w:rPr>
        <w:t xml:space="preserve">[Solo si demandas también a la persona causante de la vulneración; si no, borra este párrafo.]</w:t>
      </w:r>
      <w:r>
        <w:br/>
      </w:r>
      <w:r>
        <w:t xml:space="preserve">Y que la condena al pago de la indemnización sea solidaria para todas las partes demandadas.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necesitas que el control o la difusión paren ya, sin esperar a la sentencia; si no, borra este párrafo.]</w:t>
      </w:r>
      <w:r>
        <w:br/>
      </w:r>
      <w:r>
        <w:t xml:space="preserve">OTROSÍ DIGO: que, como medida cautelar, solicito [medida: la suspensión del uso de las cámaras de…, la desactivación de la grabación de sonido, la retirada provisional de mi imagen de…, la suspensión de los registros diarios…], porque [explica por qué no puede esperar a la sentencia: el control se repite cada día, mis datos siguen publicados…] (artículo 180.1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las normas de uso de los dispositivos y la prueba de que me las comunicó, la información dada a la plantilla y a la representación sobre las cámaras, el informe del comité, las características técnicas del sistema de grabación, el registro de accesos a mi correo o a mi ordenador, el protocolo de registros…], y que conserve hasta el juicio las grabaciones y registros relacionados con estos hechos (artículos 90.3 y 94.2 LRJS).</w:t>
      </w:r>
    </w:p>
    <w:p>
      <w:pPr>
        <w:spacing w:before="0" w:after="240" w:line="360" w:lineRule="auto"/>
      </w:pPr>
      <w:r>
        <w:t xml:space="preserve">Acompaño: documentos n.º [números], [prueba de los hechos: fotos de las cámaras y de los carteles, capturas, correos, mi escrito a la empresa con su sello de entrada y su respuesta, informes médicos…];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