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[en mi propio nombre, o en nombre y representación de [sindicato o comité de empresa que demanda], según acredito con [documento que acredita la representación]], con domicilio a efectos de notificaciones en [domicilio completo], teléfono [teléfono] y correo electrónico [correo electrónico], presento DEMANDA DE TUTELA DE LA LIBERTAD SINDICAL contra la empresa [nombre o razón social de la empresa], con NIF [NIF de la empresa] y domicilio en [domicilio de la empresa], por el procedimiento de los artículos 177 a 184 de la Ley Reguladora de la Jurisdicción Social (LRJS), por los siguientes hechos y fundamentos de derecho.</w:t>
      </w:r>
    </w:p>
    <w:p>
      <w:pPr>
        <w:spacing w:before="0" w:after="240" w:line="360" w:lineRule="auto"/>
      </w:pPr>
      <w:r>
        <w:t xml:space="preserve">Pido que se cite también al Ministerio Fiscal, que es siempre parte en estos procesos (artículo 177.3 LRJS).</w:t>
      </w:r>
    </w:p>
    <w:p>
      <w:pPr>
        <w:spacing w:before="480" w:after="240" w:line="360" w:lineRule="auto"/>
        <w:jc w:val="center"/>
      </w:pPr>
      <w:r>
        <w:rPr>
          <w:b/>
        </w:rPr>
        <w:t xml:space="preserve">HECHOS</w:t>
      </w:r>
    </w:p>
    <w:p>
      <w:pPr>
        <w:spacing w:before="0" w:after="240" w:line="360" w:lineRule="auto"/>
      </w:pPr>
      <w:r>
        <w:rPr>
          <w:b/>
        </w:rPr>
        <w:t xml:space="preserve">PRIMERO.- Quién demanda y su relación con la empresa</w:t>
      </w:r>
    </w:p>
    <w:p>
      <w:pPr>
        <w:spacing w:before="0" w:after="240" w:line="360" w:lineRule="auto"/>
      </w:pPr>
      <w:r>
        <w:t xml:space="preserve">[quién demanda y su relación con la empresa]</w:t>
      </w:r>
    </w:p>
    <w:p>
      <w:pPr>
        <w:spacing w:before="0" w:after="240" w:line="360" w:lineRule="auto"/>
      </w:pPr>
      <w:r>
        <w:rPr>
          <w:b/>
        </w:rPr>
        <w:t xml:space="preserve">SEGUNDO.- La conducta de la empresa</w:t>
      </w:r>
    </w:p>
    <w:p>
      <w:pPr>
        <w:spacing w:before="0" w:after="240" w:line="360" w:lineRule="auto"/>
      </w:pPr>
      <w:r>
        <w:t xml:space="preserve">El [fecha de la petición o de la comunicación] [lo que se pidió o comunicó a la empresa] (documento n.º [número]). La empresa [lo que hizo la empresa] el [fecha de la negativa], alegando [motivo que dio la empresa, o «sin dar ningún motivo»] (documento n.º [número]).</w:t>
      </w:r>
    </w:p>
    <w:p>
      <w:pPr>
        <w:spacing w:before="0" w:after="240" w:line="360" w:lineRule="auto"/>
      </w:pPr>
      <w:r>
        <w:rPr>
          <w:b/>
        </w:rPr>
        <w:t xml:space="preserve">TERCERO.- Indicios de la vulneración</w:t>
      </w:r>
    </w:p>
    <w:p>
      <w:pPr>
        <w:spacing w:before="0" w:after="240" w:line="360" w:lineRule="auto"/>
      </w:pPr>
      <w:r>
        <w:t xml:space="preserve">Son indicios de que la empresa ha lesionado la libertad sindical: [indicios: la petición por escrito y la negativa o el silencio, la medida llegó pocos días después de la afiliación o de la actividad, a otros sindicatos o a otras personas no se les hace lo mismo, comentarios de mandos sobre el sindicato, la empresa no dio ninguna explicación…].</w:t>
      </w:r>
    </w:p>
    <w:p>
      <w:pPr>
        <w:spacing w:before="0" w:after="240" w:line="360" w:lineRule="auto"/>
      </w:pPr>
      <w:r>
        <w:t xml:space="preserve">[La conducta continúa a fecha de esta demanda: [explica en qué sigue: la empresa sigue sin entregar la información o las copias, no reconoce al delegado/a, descuenta las horas cada mes…], o cesó el [fecha en que terminó la conducta]].</w:t>
      </w:r>
    </w:p>
    <w:p>
      <w:pPr>
        <w:spacing w:before="0" w:after="240" w:line="360" w:lineRule="auto"/>
      </w:pPr>
      <w:r>
        <w:rPr>
          <w:b/>
        </w:rPr>
        <w:t xml:space="preserve">CUARTO.- El daño causado</w:t>
      </w:r>
    </w:p>
    <w:p>
      <w:pPr>
        <w:spacing w:before="0" w:after="240" w:line="360" w:lineRule="auto"/>
      </w:pPr>
      <w:r>
        <w:t xml:space="preserve">La conducta de la empresa ha causado un daño moral: [explica la gravedad, la duración y las consecuencias: cuántos meses sin información, cuántas personas afectadas, la imposibilidad de preparar la negociación o la consulta, el descrédito del sindicato ante la plantilla, la presión sobre la persona…]. Lo valoro en [importe del daño moral] euros, por lo que explico en el fundamento V.</w:t>
      </w:r>
    </w:p>
    <w:p>
      <w:pPr>
        <w:spacing w:before="0" w:after="240" w:line="360" w:lineRule="auto"/>
      </w:pPr>
      <w:r>
        <w:rPr>
          <w:i/>
        </w:rPr>
        <w:t xml:space="preserve">[Solo si la conducta te ha hecho perder dinero (horas descontadas, un plus o una paga quitada, una diferencia salarial); si no, borra este párrafo.]</w:t>
      </w:r>
      <w:r>
        <w:br/>
      </w:r>
      <w:r>
        <w:t xml:space="preserve">Ha causado además un perjuicio económico: [concepto: las horas descontadas, el plus o la paga que me quitaron…] desde [fecha de inicio] hasta [fecha de fin, o «la fecha de la demanda»], que suma [importe del perjuicio económico] euros, según el detalle que aporto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f LRJS) del lugar donde se produjo la lesión o al que se extienden sus efectos (artículo 10.2 f LRJS). La demanda se tramita por el procedimiento de tutela de derechos fundamentales y libertades públicas (artículos 177 a 184 LRJS), urgente y preferente (artículo 179.1 LRJS), porque la conducta que impugno no es de las que el artículo 184 LRJS obliga a llevar por otra modalidad. Está exceptuada de la conciliación previa (artículo 64.1 LRJS) y se presenta dentro del plazo de la acción frente a esa conducta (artículo 179.2 LRJS), que es el general de un año del artículo 59.1 del Estatuto de los Trabajadores (ET). [Como la conducta sigue produciéndose, la acción se mantiene viva mientras dura.]</w:t>
      </w:r>
    </w:p>
    <w:p>
      <w:pPr>
        <w:spacing w:before="0" w:after="240" w:line="360" w:lineRule="auto"/>
      </w:pPr>
      <w:r>
        <w:rPr>
          <w:b/>
        </w:rPr>
        <w:t xml:space="preserve">II.- Legitimación</w:t>
      </w:r>
    </w:p>
    <w:p>
      <w:pPr>
        <w:spacing w:before="0" w:after="240" w:line="360" w:lineRule="auto"/>
      </w:pPr>
      <w:r>
        <w:t xml:space="preserve">Cualquier trabajador/a o sindicato que considere lesionados los derechos de libertad sindical puede recabar su tutela por este procedimiento (artículo 177.1 LRJS y artículo 13 de la Ley Orgánica 11/1985, de Libertad Sindical, LOLS). El Ministerio Fiscal es siempre parte (artículo 177.3 LRJS).</w:t>
      </w:r>
    </w:p>
    <w:p>
      <w:pPr>
        <w:spacing w:before="0" w:after="240" w:line="360" w:lineRule="auto"/>
      </w:pPr>
      <w:r>
        <w:rPr>
          <w:i/>
        </w:rPr>
        <w:t xml:space="preserve">[Solo si demanda el comité de empresa; si no, borra este párrafo.]</w:t>
      </w:r>
      <w:r>
        <w:br/>
      </w:r>
      <w:r>
        <w:t xml:space="preserve">El comité de empresa tiene capacidad, como órgano colegiado, para ejercer acciones judiciales en lo relativo a sus competencias, por decisión mayoritaria de sus miembros (artículo 65.1 ET), decisión que consta en el acta aportada.</w:t>
      </w:r>
    </w:p>
    <w:p>
      <w:pPr>
        <w:spacing w:before="0" w:after="240" w:line="360" w:lineRule="auto"/>
      </w:pPr>
      <w:r>
        <w:rPr>
          <w:b/>
        </w:rPr>
        <w:t xml:space="preserve">III.- El derecho vulnerado</w:t>
      </w:r>
    </w:p>
    <w:p>
      <w:pPr>
        <w:spacing w:before="0" w:after="240" w:line="360" w:lineRule="auto"/>
      </w:pPr>
      <w:r>
        <w:t xml:space="preserve">La libertad sindical comprende el derecho a la actividad sindical (artículo 28.1 de la Constitución y artículo 2.1 d y 2.2 d LOLS). Son nulas las decisiones del empresario que supongan discriminación por el ejercicio de actividades sindicales (artículo 12 LOLS) y, probada la vulneración, el juzgado debe decretar el cese inmediato del comportamiento antisindical y la reparación de sus consecuencias (artículo 15 LOLS).</w:t>
      </w:r>
    </w:p>
    <w:p>
      <w:pPr>
        <w:spacing w:before="0" w:after="240" w:line="360" w:lineRule="auto"/>
      </w:pPr>
      <w:r>
        <w:rPr>
          <w:i/>
        </w:rPr>
        <w:t xml:space="preserve">[Solo si la empresa impidió una asamblea; si no, borra este párrafo.]</w:t>
      </w:r>
      <w:r>
        <w:br/>
      </w:r>
      <w:r>
        <w:t xml:space="preserve">Las personas trabajadoras tienen derecho a reunirse en asamblea (artículos 4.1 f y 77.1 ET). Convocada en forma, con el orden del día y 48 horas de antelación (artículo 79 ET), la empresa debe facilitar el centro de trabajo y solo puede negarlo en los casos tasados del artículo 78.2 ET, ninguno de los cuales concurre. Cuando el derecho de reunión es el de los representantes, o el que el convenio reconoce a la sección sindical, impedirlo lesiona la libertad sindical.</w:t>
      </w:r>
    </w:p>
    <w:p>
      <w:pPr>
        <w:spacing w:before="0" w:after="240" w:line="360" w:lineRule="auto"/>
      </w:pPr>
      <w:r>
        <w:rPr>
          <w:i/>
        </w:rPr>
        <w:t xml:space="preserve">[Solo si la empresa negó la información, la consulta o las copias básicas; si no, borra este párrafo.]</w:t>
      </w:r>
      <w:r>
        <w:br/>
      </w:r>
      <w:r>
        <w:t xml:space="preserve">El comité y los delegados/as de personal tienen derecho a la información y la consulta del artículo 64 ET, incluidos los parámetros, reglas e instrucciones de los algoritmos o sistemas de inteligencia artificial que inciden en las condiciones de trabajo y el empleo (artículo 64.4 d ET) y la copia básica de los contratos que deban celebrarse por escrito, en los diez días siguientes a su formalización (artículos 8.4 y 64.4 ET). El derecho a recibir esa información forma parte de la libertad sindical, y la empresa no puede negarla alegando confidencialidad o protección de datos cuando está comprendida en el artículo 64 (sentencia del Tribunal Supremo de 15 de enero de 2026, recurso 222/2024). Impedir el ejercicio del derecho de información de la representación vulnera la libertad sindical (sentencia del Tribunal Supremo de 16 de abril de 2026, recurso 102/2025). El delegado/a sindical que no forma parte del comité tiene acceso a la misma información y documentación que la empresa pone a disposición del comité (artículo 10.3.1.º LOLS).</w:t>
      </w:r>
    </w:p>
    <w:p>
      <w:pPr>
        <w:spacing w:before="0" w:after="240" w:line="360" w:lineRule="auto"/>
      </w:pPr>
      <w:r>
        <w:rPr>
          <w:i/>
        </w:rPr>
        <w:t xml:space="preserve">[Solo si la empresa no reconoce la sección sindical o al delegado/a sindical, o les niega el tablón o el local; si no, borra este párrafo.]</w:t>
      </w:r>
      <w:r>
        <w:br/>
      </w:r>
      <w:r>
        <w:t xml:space="preserve">Las personas afiliadas pueden constituir secciones sindicales (artículo 8.1 a LOLS), y negarse a reconocer la sección y a su portavoz vulnera la libertad sindical aunque no tenga presencia en el comité (sentencia del Tribunal Supremo de 9 de abril de 2024, recurso 2862/2021). Las secciones de los sindicatos con representación tienen derecho a un tablón de anuncios y, en empresas o centros de más de 250 personas, a un local adecuado (artículo 8.2 LOLS). En las empresas o centros de más de 250 personas, la sección del sindicato con presencia en el comité está representada por delegados/as sindicales con las mismas garantías que los miembros del comité (artículo 10.1 y 3 LOLS), y elegir si se nombran en el ámbito de la empresa o del centro corresponde al sindicato (sentencia del Tribunal Supremo de 18 de julio de 2014, recurso 91/2013).</w:t>
      </w:r>
    </w:p>
    <w:p>
      <w:pPr>
        <w:spacing w:before="0" w:after="240" w:line="360" w:lineRule="auto"/>
      </w:pPr>
      <w:r>
        <w:rPr>
          <w:i/>
        </w:rPr>
        <w:t xml:space="preserve">[Solo si la empresa pone obstáculos al uso del crédito horario; si no, borra este párrafo.]</w:t>
      </w:r>
      <w:r>
        <w:br/>
      </w:r>
      <w:r>
        <w:t xml:space="preserve">Los representantes disponen de un crédito de horas mensuales retribuidas para sus funciones (artículos 37.3 e y 68 e ET), y el delegado/a sindical con garantías tiene el mismo crédito que los miembros del comité (artículo 10.3 LOLS), aunque no forme parte de él o deje de formar parte (sentencia del Tribunal Supremo de 25 de abril de 2025, recurso 144/2023). Negar, descontar o entorpecer ese crédito lesiona la libertad sindical.</w:t>
      </w:r>
    </w:p>
    <w:p>
      <w:pPr>
        <w:spacing w:before="0" w:after="240" w:line="360" w:lineRule="auto"/>
      </w:pPr>
      <w:r>
        <w:rPr>
          <w:i/>
        </w:rPr>
        <w:t xml:space="preserve">[Solo si la empresa trata peor a una persona por su afiliación o su actividad sindical; si no, borra este párrafo.]</w:t>
      </w:r>
      <w:r>
        <w:br/>
      </w:r>
      <w:r>
        <w:t xml:space="preserve">Las personas trabajadoras tienen derecho a no ser discriminadas por su afiliación o no a un sindicato (artículo 4.2 c ET), y son nulas las decisiones del empresario que supongan discriminación en el empleo o en las condiciones de trabajo por la adhesión a un sindicato o el ejercicio de actividades sindicales (artículo 12 LOLS y artículo 17.1 ET).</w:t>
      </w:r>
    </w:p>
    <w:p>
      <w:pPr>
        <w:spacing w:before="0" w:after="240" w:line="360" w:lineRule="auto"/>
      </w:pPr>
      <w:r>
        <w:rPr>
          <w:b/>
        </w:rPr>
        <w:t xml:space="preserve">IV.- Los indicios trasladan la prueba a la empresa</w:t>
      </w:r>
    </w:p>
    <w:p>
      <w:pPr>
        <w:spacing w:before="0" w:after="240" w:line="360" w:lineRule="auto"/>
      </w:pPr>
      <w:r>
        <w:t xml:space="preserve">Una vez justificados indicios de la vulneración, corresponde a la parte demandada aportar una justificación objetiva y razonable, suficientemente probada, de las medidas adoptadas y de su proporcionalidad (artículos 96.1 y 181.2 LRJS). Los indicios expuestos en el hecho tercero cumplen esa exigencia.</w:t>
      </w:r>
    </w:p>
    <w:p>
      <w:pPr>
        <w:spacing w:before="0" w:after="240" w:line="360" w:lineRule="auto"/>
      </w:pPr>
      <w:r>
        <w:rPr>
          <w:b/>
        </w:rPr>
        <w:t xml:space="preserve">V.- Lo que debe declarar la sentencia y la indemnización</w:t>
      </w:r>
    </w:p>
    <w:p>
      <w:pPr>
        <w:spacing w:before="0" w:after="240" w:line="360" w:lineRule="auto"/>
      </w:pPr>
      <w:r>
        <w:t xml:space="preserve">Si se estima la demanda, la sentencia declarará la vulneración y el derecho infringido, la nulidad radical de la actuación, el cese inmediato de la conducta o la obligación de realizar la actividad omitida, y el restablecimiento en la integridad del derecho con la reparación de sus consecuencias, incluida la indemnización (artículo 182.1 LRJS).</w:t>
      </w:r>
    </w:p>
    <w:p>
      <w:pPr>
        <w:spacing w:before="0" w:after="240" w:line="360" w:lineRule="auto"/>
      </w:pPr>
      <w:r>
        <w:t xml:space="preserve">Declarada la vulneración, el juzgado debe pronunciarse sobre la indemnización por el daño moral unido a ella y por los daños y perjuicios adicionales, y la fija prudencialmente cuando la prueba de su importe exacto es demasiado difícil (artículos 179.3 y 183.1 y 2 LRJS). Como referencia tomo las multas de la Ley sobre Infracciones y Sanciones en el Orden Social (LISOS): [tipo de infracción que corresponde: impedir el derecho de reunión de la plantilla, sus representantes o las secciones sindicales (artículo 8.5) o discriminar por la adhesión a un sindicato (artículo 8.12), infracciones muy graves con multa de 7.501 a 30.000 euros en grado mínimo (artículo 40.1 c); o negar los derechos de información, audiencia y consulta (artículo 7.7) o los de crédito horario, local o tablón (artículo 7.8), infracciones graves con multa de 751 a 7.500 euros (artículo 40.1 b)]. Con esa referencia, el Tribunal Supremo ha fijado 7.500 euros por impedir el derecho de información de la representación (sentencia de 16 de abril de 2026, recurso 102/2025). Por la gravedad, la duración y las consecuencias expuestas en el hecho cuarto, pido [importe del daño moral] euros.</w:t>
      </w:r>
    </w:p>
    <w:p>
      <w:pPr>
        <w:spacing w:before="480" w:after="240" w:line="360" w:lineRule="auto"/>
        <w:jc w:val="center"/>
      </w:pPr>
      <w:r>
        <w:rPr>
          <w:b/>
        </w:rPr>
        <w:t xml:space="preserve">SUPLICO</w:t>
      </w:r>
    </w:p>
    <w:p>
      <w:pPr>
        <w:spacing w:before="0" w:after="240" w:line="360" w:lineRule="auto"/>
      </w:pPr>
      <w:r>
        <w:t xml:space="preserve">Que admita esta demanda, cite a las partes y al Ministerio Fiscal a los actos de conciliación y juicio y, en su día, dicte sentencia que declare que la empresa ha vulnerado el derecho de libertad sindical de [la parte demandante]; declare la nulidad radical de [conducta que pides que se anule]; ordene el cese inmediato de esa conducta; condene a la empresa a [reposición concreta que pides: entregar la información de…, entregar las copias básicas de los contratos de…, reconocer a … como delegado/a sindical con sus garantías y su crédito de … horas, facilitar el centro para la asamblea, poner a disposición de la sección un tablón o un local adecuado…]; y la condene a pagar a [la parte demandante] [importe del daño moral] euros como indemnización por el daño moral.</w:t>
      </w:r>
    </w:p>
    <w:p>
      <w:pPr>
        <w:spacing w:before="0" w:after="240" w:line="360" w:lineRule="auto"/>
      </w:pPr>
      <w:r>
        <w:rPr>
          <w:i/>
        </w:rPr>
        <w:t xml:space="preserve">[Solo si reclamas también el dinero perdido; si no, borra este párrafo.]</w:t>
      </w:r>
      <w:r>
        <w:br/>
      </w:r>
      <w:r>
        <w:t xml:space="preserve">Y que condene además a la empresa a pagarme [importe del perjuicio económico] euros por [concepto: las horas descontadas, el plus o la paga que me quitaron…], como reparación de las consecuencias económicas de la conducta (artículo 182.1 d LRJS).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los contratos y las copias básicas de…, la información entregada al comité en…, los datos de plantilla del ámbito a fecha de…, el registro de las horas sindicales y las nóminas de…] (artículos 90.3 y 94.2 LRJS).</w:t>
      </w:r>
    </w:p>
    <w:p>
      <w:pPr>
        <w:spacing w:before="0" w:after="240" w:line="360" w:lineRule="auto"/>
      </w:pPr>
      <w:r>
        <w:t xml:space="preserve">Acompaño: documentos n.º [números], [prueba de los hechos y de los indicios: peticiones con sello de entrada o acuse de recibo, respuestas de la empresa, convocatoria de la asamblea, comunicación de la sección o de la designación, actas electorales, nóminas…]; y copias de la demanda y de los documentos para cada parte demandada y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